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8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eastAsia="zh-CN"/>
        </w:rPr>
        <w:t>《建设工程造价司法鉴定常见问题成因分析及解决思路》报名表</w:t>
      </w:r>
      <w:bookmarkEnd w:id="0"/>
    </w:p>
    <w:tbl>
      <w:tblPr>
        <w:tblStyle w:val="3"/>
        <w:tblpPr w:leftFromText="180" w:rightFromText="180" w:vertAnchor="text" w:horzAnchor="page" w:tblpX="1815" w:tblpY="6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720"/>
        <w:gridCol w:w="155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单位</w:t>
            </w: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备注：请将此电子稿发送至协会邮箱wzzjxh@163.com。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65894"/>
    <w:rsid w:val="63865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2021-09-30T07:59:00Z</dcterms:created>
  <dc:creator>陈松华</dc:creator>
  <cp:lastModifiedBy>陈松华</cp:lastModifiedBy>
  <dcterms:modified xsi:type="dcterms:W3CDTF">2021-09-30T07:59:56Z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6A6FD786AFFF4F0CBD2A9876875C6EDA</vt:lpwstr>
  </property>
</Properties>
</file>